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25" w:rsidRPr="00825413" w:rsidRDefault="00482725" w:rsidP="00482725">
      <w:pPr>
        <w:spacing w:after="0" w:line="276" w:lineRule="auto"/>
        <w:ind w:left="5387"/>
        <w:rPr>
          <w:rFonts w:ascii="Calibri" w:hAnsi="Calibri" w:cs="Calibri"/>
          <w:i/>
        </w:rPr>
      </w:pPr>
      <w:r w:rsidRPr="00825413">
        <w:rPr>
          <w:rFonts w:ascii="Calibri" w:hAnsi="Calibri" w:cs="Calibri"/>
          <w:i/>
        </w:rPr>
        <w:t xml:space="preserve">Załącznik nr </w:t>
      </w:r>
      <w:r>
        <w:rPr>
          <w:rFonts w:ascii="Calibri" w:hAnsi="Calibri" w:cs="Calibri"/>
          <w:i/>
        </w:rPr>
        <w:t>3</w:t>
      </w:r>
    </w:p>
    <w:p w:rsidR="00482725" w:rsidRPr="00825413" w:rsidRDefault="00482725" w:rsidP="00482725">
      <w:pPr>
        <w:spacing w:after="0" w:line="276" w:lineRule="auto"/>
        <w:ind w:left="5387"/>
        <w:rPr>
          <w:rFonts w:ascii="Calibri" w:eastAsia="Times New Roman" w:hAnsi="Calibri" w:cs="Calibri"/>
          <w:i/>
          <w:lang w:eastAsia="pl-PL"/>
        </w:rPr>
      </w:pPr>
      <w:r w:rsidRPr="00825413">
        <w:rPr>
          <w:rFonts w:ascii="Calibri" w:hAnsi="Calibri" w:cs="Calibri"/>
          <w:i/>
        </w:rPr>
        <w:t xml:space="preserve">do </w:t>
      </w:r>
      <w:r w:rsidRPr="00825413">
        <w:rPr>
          <w:rFonts w:ascii="Calibri" w:eastAsia="Times New Roman" w:hAnsi="Calibri" w:cs="Calibri"/>
          <w:i/>
          <w:lang w:eastAsia="pl-PL"/>
        </w:rPr>
        <w:t xml:space="preserve">Procedury </w:t>
      </w:r>
    </w:p>
    <w:p w:rsidR="00482725" w:rsidRPr="00825413" w:rsidRDefault="00482725" w:rsidP="00482725">
      <w:pPr>
        <w:spacing w:after="0" w:line="276" w:lineRule="auto"/>
        <w:ind w:left="5387"/>
        <w:rPr>
          <w:rFonts w:ascii="Calibri" w:eastAsia="Times New Roman" w:hAnsi="Calibri" w:cs="Calibri"/>
          <w:i/>
          <w:lang w:eastAsia="pl-PL"/>
        </w:rPr>
      </w:pPr>
      <w:bookmarkStart w:id="0" w:name="_GoBack"/>
      <w:bookmarkEnd w:id="0"/>
      <w:r w:rsidRPr="00825413">
        <w:rPr>
          <w:rFonts w:ascii="Calibri" w:eastAsia="Times New Roman" w:hAnsi="Calibri" w:cs="Calibri"/>
          <w:i/>
          <w:lang w:eastAsia="pl-PL"/>
        </w:rPr>
        <w:t xml:space="preserve">obsługi osób ze szczególnymi potrzebami </w:t>
      </w:r>
    </w:p>
    <w:p w:rsidR="00482725" w:rsidRDefault="00482725" w:rsidP="00482725">
      <w:pPr>
        <w:spacing w:after="0" w:line="360" w:lineRule="auto"/>
        <w:ind w:left="5387"/>
        <w:rPr>
          <w:rFonts w:ascii="Calibri" w:eastAsia="Times New Roman" w:hAnsi="Calibri" w:cs="Calibri"/>
          <w:i/>
          <w:lang w:eastAsia="pl-PL"/>
        </w:rPr>
      </w:pPr>
      <w:r w:rsidRPr="00825413">
        <w:rPr>
          <w:rFonts w:ascii="Calibri" w:eastAsia="Times New Roman" w:hAnsi="Calibri" w:cs="Calibri"/>
          <w:i/>
          <w:lang w:eastAsia="pl-PL"/>
        </w:rPr>
        <w:t>w Urzędzie Miasta Łodzi</w:t>
      </w:r>
    </w:p>
    <w:p w:rsidR="00482725" w:rsidRDefault="00482725" w:rsidP="00482725">
      <w:pPr>
        <w:spacing w:after="0" w:line="360" w:lineRule="auto"/>
        <w:ind w:left="4820"/>
        <w:rPr>
          <w:rFonts w:ascii="Calibri" w:eastAsia="Times New Roman" w:hAnsi="Calibri" w:cs="Calibri"/>
          <w:i/>
          <w:lang w:eastAsia="pl-PL"/>
        </w:rPr>
      </w:pPr>
    </w:p>
    <w:p w:rsidR="00482725" w:rsidRPr="00D66D00" w:rsidRDefault="00482725" w:rsidP="00482725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D00">
        <w:rPr>
          <w:rFonts w:ascii="Calibri" w:eastAsia="Times New Roman" w:hAnsi="Calibri" w:cs="Calibri"/>
          <w:b/>
          <w:sz w:val="24"/>
          <w:szCs w:val="24"/>
          <w:lang w:eastAsia="pl-PL"/>
        </w:rPr>
        <w:t>Zasady tworzenia dostępnego dokumentu</w:t>
      </w:r>
    </w:p>
    <w:p w:rsidR="00482725" w:rsidRPr="0065584F" w:rsidRDefault="00482725" w:rsidP="004827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65584F">
        <w:rPr>
          <w:rFonts w:eastAsia="Times New Roman" w:cstheme="minorHAnsi"/>
          <w:sz w:val="24"/>
          <w:szCs w:val="24"/>
          <w:lang w:eastAsia="pl-PL"/>
        </w:rPr>
        <w:t>yrównuj tekst do lewej strony – nie stosuj justowania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482725" w:rsidRPr="0065584F" w:rsidRDefault="00482725" w:rsidP="004827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</w:t>
      </w:r>
      <w:r w:rsidRPr="0065584F">
        <w:rPr>
          <w:rFonts w:eastAsia="Times New Roman" w:cstheme="minorHAnsi"/>
          <w:sz w:val="24"/>
          <w:szCs w:val="24"/>
          <w:lang w:eastAsia="pl-PL"/>
        </w:rPr>
        <w:t>ie dziel wyrazów – wyłącz tę funkcję w edytorze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482725" w:rsidRPr="0065584F" w:rsidRDefault="00482725" w:rsidP="004827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Pr="0065584F">
        <w:rPr>
          <w:rFonts w:eastAsia="Times New Roman" w:cstheme="minorHAnsi"/>
          <w:sz w:val="24"/>
          <w:szCs w:val="24"/>
          <w:lang w:eastAsia="pl-PL"/>
        </w:rPr>
        <w:t>o rozsuwania znaków używaj funkcji „tekst rozstrzelony”.</w:t>
      </w:r>
    </w:p>
    <w:p w:rsidR="00482725" w:rsidRDefault="00482725" w:rsidP="004827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Pr="0065584F">
        <w:rPr>
          <w:rFonts w:eastAsia="Times New Roman" w:cstheme="minorHAnsi"/>
          <w:sz w:val="24"/>
          <w:szCs w:val="24"/>
          <w:lang w:eastAsia="pl-PL"/>
        </w:rPr>
        <w:t xml:space="preserve">tosuj czcionki, które, są </w:t>
      </w:r>
      <w:proofErr w:type="spellStart"/>
      <w:r w:rsidRPr="0065584F">
        <w:rPr>
          <w:rFonts w:eastAsia="Times New Roman" w:cstheme="minorHAnsi"/>
          <w:sz w:val="24"/>
          <w:szCs w:val="24"/>
          <w:lang w:eastAsia="pl-PL"/>
        </w:rPr>
        <w:t>bezszeryfowe</w:t>
      </w:r>
      <w:proofErr w:type="spellEnd"/>
      <w:r w:rsidRPr="0065584F">
        <w:rPr>
          <w:rFonts w:eastAsia="Times New Roman" w:cstheme="minorHAnsi"/>
          <w:sz w:val="24"/>
          <w:szCs w:val="24"/>
          <w:lang w:eastAsia="pl-PL"/>
        </w:rPr>
        <w:t>, (</w:t>
      </w:r>
      <w:r>
        <w:rPr>
          <w:rFonts w:eastAsia="Times New Roman" w:cstheme="minorHAnsi"/>
          <w:sz w:val="24"/>
          <w:szCs w:val="24"/>
          <w:lang w:eastAsia="pl-PL"/>
        </w:rPr>
        <w:t>np.</w:t>
      </w:r>
      <w:r w:rsidRPr="0065584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5584F">
        <w:rPr>
          <w:rFonts w:eastAsia="Times New Roman" w:cstheme="minorHAnsi"/>
          <w:sz w:val="24"/>
          <w:szCs w:val="24"/>
          <w:lang w:eastAsia="pl-PL"/>
        </w:rPr>
        <w:t>Helvetica</w:t>
      </w:r>
      <w:proofErr w:type="spellEnd"/>
      <w:r w:rsidRPr="0065584F">
        <w:rPr>
          <w:rFonts w:eastAsia="Times New Roman" w:cstheme="minorHAnsi"/>
          <w:sz w:val="24"/>
          <w:szCs w:val="24"/>
          <w:lang w:eastAsia="pl-PL"/>
        </w:rPr>
        <w:t>, Arial, Calibri, Tahoma)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482725" w:rsidRPr="00D66D00" w:rsidRDefault="00482725" w:rsidP="004827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</w:t>
      </w:r>
      <w:r w:rsidRPr="00D66D00">
        <w:rPr>
          <w:rFonts w:eastAsia="Times New Roman" w:cstheme="minorHAnsi"/>
          <w:sz w:val="24"/>
          <w:szCs w:val="24"/>
          <w:lang w:eastAsia="pl-PL"/>
        </w:rPr>
        <w:t>ie twórz pionowych napisów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D66D0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82725" w:rsidRPr="0065584F" w:rsidRDefault="00482725" w:rsidP="004827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65584F">
        <w:rPr>
          <w:rFonts w:cstheme="minorHAnsi"/>
          <w:sz w:val="24"/>
          <w:szCs w:val="24"/>
        </w:rPr>
        <w:t>tosuj interlinię miedzy wierszami: 1,15 lub 1,5 pkt</w:t>
      </w:r>
      <w:r>
        <w:rPr>
          <w:rFonts w:cstheme="minorHAnsi"/>
          <w:sz w:val="24"/>
          <w:szCs w:val="24"/>
        </w:rPr>
        <w:t>.</w:t>
      </w:r>
    </w:p>
    <w:p w:rsidR="00482725" w:rsidRPr="0065584F" w:rsidRDefault="00482725" w:rsidP="004827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65584F">
        <w:rPr>
          <w:rFonts w:cstheme="minorHAnsi"/>
          <w:sz w:val="24"/>
          <w:szCs w:val="24"/>
        </w:rPr>
        <w:t>żywaj wbudowanych stylów: Nagłówek 1, Nagłówek 2 itd.</w:t>
      </w:r>
    </w:p>
    <w:p w:rsidR="00482725" w:rsidRDefault="00482725" w:rsidP="004827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65584F">
        <w:rPr>
          <w:rFonts w:cstheme="minorHAnsi"/>
          <w:sz w:val="24"/>
          <w:szCs w:val="24"/>
        </w:rPr>
        <w:t>tosuj akapity – tekst dzielony na akapity, z zachowaniem wymienionych niżej reguł jest bardziej czytelny</w:t>
      </w:r>
      <w:r>
        <w:rPr>
          <w:rFonts w:cstheme="minorHAnsi"/>
          <w:sz w:val="24"/>
          <w:szCs w:val="24"/>
        </w:rPr>
        <w:t>:</w:t>
      </w:r>
    </w:p>
    <w:p w:rsidR="00482725" w:rsidRDefault="00482725" w:rsidP="00482725">
      <w:pPr>
        <w:pStyle w:val="Akapitzlist"/>
        <w:spacing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5584F">
        <w:rPr>
          <w:rFonts w:cstheme="minorHAnsi"/>
          <w:sz w:val="24"/>
          <w:szCs w:val="24"/>
        </w:rPr>
        <w:t>przeniesienie fragmentu akapitu czy zdania do nowej linii wykonuje się przez wstawienie znaku podziału linii – znak ten można wstawić używając klawiszy: &lt;</w:t>
      </w:r>
      <w:proofErr w:type="spellStart"/>
      <w:r w:rsidRPr="0065584F">
        <w:rPr>
          <w:rFonts w:cstheme="minorHAnsi"/>
          <w:sz w:val="24"/>
          <w:szCs w:val="24"/>
        </w:rPr>
        <w:t>Shift+Enter</w:t>
      </w:r>
      <w:proofErr w:type="spellEnd"/>
      <w:r w:rsidRPr="0065584F">
        <w:rPr>
          <w:rFonts w:cstheme="minorHAnsi"/>
          <w:sz w:val="24"/>
          <w:szCs w:val="24"/>
        </w:rPr>
        <w:t>&gt;</w:t>
      </w:r>
      <w:r>
        <w:rPr>
          <w:rFonts w:cstheme="minorHAnsi"/>
          <w:sz w:val="24"/>
          <w:szCs w:val="24"/>
        </w:rPr>
        <w:t>,</w:t>
      </w:r>
    </w:p>
    <w:p w:rsidR="00482725" w:rsidRPr="00D66D00" w:rsidRDefault="00482725" w:rsidP="00482725">
      <w:pPr>
        <w:pStyle w:val="Akapitzlist"/>
        <w:spacing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D66D00">
        <w:rPr>
          <w:rFonts w:cstheme="minorHAnsi"/>
          <w:sz w:val="24"/>
          <w:szCs w:val="24"/>
        </w:rPr>
        <w:t>przeniesienie fragmentu dokumentu na nową stronę wykonuje się przez wstawienie znaku podziału strony:&lt;</w:t>
      </w:r>
      <w:proofErr w:type="spellStart"/>
      <w:r w:rsidRPr="00D66D00">
        <w:rPr>
          <w:rFonts w:cstheme="minorHAnsi"/>
          <w:sz w:val="24"/>
          <w:szCs w:val="24"/>
        </w:rPr>
        <w:t>Ctrl+Enter</w:t>
      </w:r>
      <w:proofErr w:type="spellEnd"/>
      <w:r w:rsidRPr="00D66D00">
        <w:rPr>
          <w:rFonts w:cstheme="minorHAnsi"/>
          <w:sz w:val="24"/>
          <w:szCs w:val="24"/>
        </w:rPr>
        <w:t>&gt;</w:t>
      </w:r>
      <w:r>
        <w:rPr>
          <w:rFonts w:cstheme="minorHAnsi"/>
          <w:sz w:val="24"/>
          <w:szCs w:val="24"/>
        </w:rPr>
        <w:t>.</w:t>
      </w:r>
    </w:p>
    <w:p w:rsidR="00482725" w:rsidRPr="0065584F" w:rsidRDefault="00482725" w:rsidP="004827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65584F">
        <w:rPr>
          <w:rFonts w:cstheme="minorHAnsi"/>
          <w:sz w:val="24"/>
          <w:szCs w:val="24"/>
        </w:rPr>
        <w:t>ie używaj klawisza &lt;</w:t>
      </w:r>
      <w:proofErr w:type="spellStart"/>
      <w:r w:rsidRPr="0065584F">
        <w:rPr>
          <w:rFonts w:cstheme="minorHAnsi"/>
          <w:sz w:val="24"/>
          <w:szCs w:val="24"/>
        </w:rPr>
        <w:t>Enter</w:t>
      </w:r>
      <w:proofErr w:type="spellEnd"/>
      <w:r w:rsidRPr="0065584F">
        <w:rPr>
          <w:rFonts w:cstheme="minorHAnsi"/>
          <w:sz w:val="24"/>
          <w:szCs w:val="24"/>
        </w:rPr>
        <w:t>&gt; do przesuwania treści – użytkownicy niewidomi otrzymują wówczas błędną informację od czytnika ekranu; może to również spowodować błędne wyświetlanie się dokumentów</w:t>
      </w:r>
      <w:r>
        <w:rPr>
          <w:rFonts w:cstheme="minorHAnsi"/>
          <w:sz w:val="24"/>
          <w:szCs w:val="24"/>
        </w:rPr>
        <w:t>.</w:t>
      </w:r>
    </w:p>
    <w:p w:rsidR="00482725" w:rsidRPr="0065584F" w:rsidRDefault="00482725" w:rsidP="004827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65584F">
        <w:rPr>
          <w:rFonts w:cstheme="minorHAnsi"/>
          <w:sz w:val="24"/>
          <w:szCs w:val="24"/>
        </w:rPr>
        <w:t>astępuj hiperłącza etykietami ekranowymi</w:t>
      </w:r>
      <w:r>
        <w:rPr>
          <w:rFonts w:cstheme="minorHAnsi"/>
          <w:sz w:val="24"/>
          <w:szCs w:val="24"/>
        </w:rPr>
        <w:t xml:space="preserve">; </w:t>
      </w:r>
      <w:r w:rsidRPr="0065584F">
        <w:rPr>
          <w:rFonts w:cstheme="minorHAnsi"/>
          <w:sz w:val="24"/>
          <w:szCs w:val="24"/>
        </w:rPr>
        <w:t xml:space="preserve">przy tworzeniu alternatywnego opisu hiperłączy (linków) nie używaj nazw całych linków – należy nadać im nazwę, która jasno określi ich przeznaczenie, </w:t>
      </w:r>
      <w:r>
        <w:rPr>
          <w:rFonts w:cstheme="minorHAnsi"/>
          <w:sz w:val="24"/>
          <w:szCs w:val="24"/>
        </w:rPr>
        <w:t xml:space="preserve">np. </w:t>
      </w:r>
      <w:r w:rsidRPr="0065584F">
        <w:rPr>
          <w:rFonts w:cstheme="minorHAnsi"/>
          <w:sz w:val="24"/>
          <w:szCs w:val="24"/>
        </w:rPr>
        <w:t xml:space="preserve">napisz </w:t>
      </w:r>
      <w:r>
        <w:rPr>
          <w:rFonts w:cstheme="minorHAnsi"/>
          <w:sz w:val="24"/>
          <w:szCs w:val="24"/>
        </w:rPr>
        <w:t>„</w:t>
      </w:r>
      <w:r w:rsidRPr="0065584F">
        <w:rPr>
          <w:rFonts w:cstheme="minorHAnsi"/>
          <w:sz w:val="24"/>
          <w:szCs w:val="24"/>
        </w:rPr>
        <w:t>Terminy naborów</w:t>
      </w:r>
      <w:r>
        <w:rPr>
          <w:rFonts w:cstheme="minorHAnsi"/>
          <w:sz w:val="24"/>
          <w:szCs w:val="24"/>
        </w:rPr>
        <w:t xml:space="preserve">” </w:t>
      </w:r>
      <w:r w:rsidRPr="0065584F">
        <w:rPr>
          <w:rFonts w:cstheme="minorHAnsi"/>
          <w:sz w:val="24"/>
          <w:szCs w:val="24"/>
        </w:rPr>
        <w:t>zamiast http://power.parp.gov.pl/harmonogram/harmonogram-naborow-na-2017-rok</w:t>
      </w:r>
      <w:r>
        <w:rPr>
          <w:rFonts w:cstheme="minorHAnsi"/>
          <w:sz w:val="24"/>
          <w:szCs w:val="24"/>
        </w:rPr>
        <w:t>.</w:t>
      </w:r>
    </w:p>
    <w:p w:rsidR="00482725" w:rsidRDefault="00482725" w:rsidP="004827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65584F">
        <w:rPr>
          <w:rFonts w:cstheme="minorHAnsi"/>
          <w:sz w:val="24"/>
          <w:szCs w:val="24"/>
        </w:rPr>
        <w:t>tosuj narzędzie edytora tekstu do wstawiania listy elementów zamiast wstawiać je ręcznie – po takiej liście można nawigować czytnikiem ekranu</w:t>
      </w:r>
      <w:r>
        <w:rPr>
          <w:rFonts w:cstheme="minorHAnsi"/>
          <w:sz w:val="24"/>
          <w:szCs w:val="24"/>
        </w:rPr>
        <w:t>.</w:t>
      </w:r>
    </w:p>
    <w:p w:rsidR="00482725" w:rsidRDefault="00482725" w:rsidP="004827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66D00">
        <w:rPr>
          <w:rFonts w:cstheme="minorHAnsi"/>
          <w:sz w:val="24"/>
          <w:szCs w:val="24"/>
        </w:rPr>
        <w:t>amiętaj o właściwym kontraście</w:t>
      </w:r>
      <w:r>
        <w:rPr>
          <w:rFonts w:cstheme="minorHAnsi"/>
          <w:sz w:val="24"/>
          <w:szCs w:val="24"/>
        </w:rPr>
        <w:t>.</w:t>
      </w:r>
    </w:p>
    <w:p w:rsidR="00482725" w:rsidRDefault="00482725" w:rsidP="004827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D66D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D66D00">
        <w:rPr>
          <w:rFonts w:cstheme="minorHAnsi"/>
          <w:sz w:val="24"/>
          <w:szCs w:val="24"/>
        </w:rPr>
        <w:t xml:space="preserve">stawiając do tekstu tabelę pamiętaj, </w:t>
      </w:r>
      <w:r>
        <w:rPr>
          <w:rFonts w:cstheme="minorHAnsi"/>
          <w:sz w:val="24"/>
          <w:szCs w:val="24"/>
        </w:rPr>
        <w:t>aby:</w:t>
      </w:r>
    </w:p>
    <w:p w:rsidR="00482725" w:rsidRDefault="00482725" w:rsidP="00482725">
      <w:pPr>
        <w:pStyle w:val="Akapitzlist"/>
        <w:spacing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D66D00">
        <w:rPr>
          <w:rFonts w:cstheme="minorHAnsi"/>
          <w:sz w:val="24"/>
          <w:szCs w:val="24"/>
        </w:rPr>
        <w:t>określić wiersz nagłówków tabeli</w:t>
      </w:r>
      <w:r>
        <w:rPr>
          <w:rFonts w:cstheme="minorHAnsi"/>
          <w:sz w:val="24"/>
          <w:szCs w:val="24"/>
        </w:rPr>
        <w:t>;</w:t>
      </w:r>
      <w:r w:rsidRPr="00D66D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 w:rsidRPr="00D66D00">
        <w:rPr>
          <w:rFonts w:cstheme="minorHAnsi"/>
          <w:sz w:val="24"/>
          <w:szCs w:val="24"/>
        </w:rPr>
        <w:t>definiowanie wiersza nagłówków pozwala osobom niewidomym korzystającym z</w:t>
      </w:r>
      <w:r>
        <w:rPr>
          <w:rFonts w:cstheme="minorHAnsi"/>
          <w:sz w:val="24"/>
          <w:szCs w:val="24"/>
        </w:rPr>
        <w:t> </w:t>
      </w:r>
      <w:r w:rsidRPr="00D66D00">
        <w:rPr>
          <w:rFonts w:cstheme="minorHAnsi"/>
          <w:sz w:val="24"/>
          <w:szCs w:val="24"/>
        </w:rPr>
        <w:t xml:space="preserve">czytnika ekranu zrozumieć znaczenie treści odczytywanych komórek tabeli, </w:t>
      </w:r>
    </w:p>
    <w:p w:rsidR="00482725" w:rsidRDefault="00482725" w:rsidP="00482725">
      <w:pPr>
        <w:pStyle w:val="Akapitzlist"/>
        <w:spacing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Pr="00D66D00">
        <w:rPr>
          <w:rFonts w:cstheme="minorHAnsi"/>
          <w:sz w:val="24"/>
          <w:szCs w:val="24"/>
        </w:rPr>
        <w:t>używać funkcji „Powtórz wiersz nagłówka na nowych stronach”</w:t>
      </w:r>
      <w:r>
        <w:rPr>
          <w:rFonts w:cstheme="minorHAnsi"/>
          <w:sz w:val="24"/>
          <w:szCs w:val="24"/>
        </w:rPr>
        <w:t xml:space="preserve">; </w:t>
      </w:r>
      <w:r w:rsidRPr="00D66D00">
        <w:rPr>
          <w:rFonts w:cstheme="minorHAnsi"/>
          <w:sz w:val="24"/>
          <w:szCs w:val="24"/>
        </w:rPr>
        <w:t xml:space="preserve">w sytuacji, gdy tabela będzie zajmowała więcej niż jedną stronę dokumentu, wiersz nagłówka automatycznie zostanie powtórzony na kolejnych stronach, </w:t>
      </w:r>
    </w:p>
    <w:p w:rsidR="00482725" w:rsidRDefault="00482725" w:rsidP="00482725">
      <w:pPr>
        <w:pStyle w:val="Akapitzlist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D66D00">
        <w:rPr>
          <w:rFonts w:cstheme="minorHAnsi"/>
          <w:sz w:val="24"/>
          <w:szCs w:val="24"/>
        </w:rPr>
        <w:t xml:space="preserve">- linie siatki były widoczne, co pozwala wizualnie rozpoznawać wiersze i kolumny, </w:t>
      </w:r>
    </w:p>
    <w:p w:rsidR="00482725" w:rsidRPr="00D66D00" w:rsidRDefault="00482725" w:rsidP="00482725">
      <w:pPr>
        <w:pStyle w:val="Akapitzlist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D66D0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- </w:t>
      </w:r>
      <w:r w:rsidRPr="00D66D00">
        <w:rPr>
          <w:rFonts w:cstheme="minorHAnsi"/>
          <w:sz w:val="24"/>
          <w:szCs w:val="24"/>
        </w:rPr>
        <w:t xml:space="preserve">wyrównywać tekst w kolumnach do lewej, a dane liczbowe do prawej lub do przecinka dziesiętnego. </w:t>
      </w:r>
    </w:p>
    <w:p w:rsidR="00482725" w:rsidRDefault="00482725" w:rsidP="004827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07AB8">
        <w:rPr>
          <w:rFonts w:cstheme="minorHAnsi"/>
          <w:sz w:val="24"/>
          <w:szCs w:val="24"/>
        </w:rPr>
        <w:t>Stosuj język prosty</w:t>
      </w:r>
      <w:r>
        <w:rPr>
          <w:rFonts w:cstheme="minorHAnsi"/>
          <w:sz w:val="24"/>
          <w:szCs w:val="24"/>
        </w:rPr>
        <w:t>.</w:t>
      </w:r>
    </w:p>
    <w:p w:rsidR="008010E8" w:rsidRPr="00482725" w:rsidRDefault="00482725" w:rsidP="004827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07AB8">
        <w:rPr>
          <w:rFonts w:cstheme="minorHAnsi"/>
          <w:sz w:val="24"/>
          <w:szCs w:val="24"/>
        </w:rPr>
        <w:t>We wszystkich filmach (poza transmisjami na żywo), które zosta</w:t>
      </w:r>
      <w:r>
        <w:rPr>
          <w:rFonts w:cstheme="minorHAnsi"/>
          <w:sz w:val="24"/>
          <w:szCs w:val="24"/>
        </w:rPr>
        <w:t>ły</w:t>
      </w:r>
      <w:r w:rsidRPr="00807AB8">
        <w:rPr>
          <w:rFonts w:cstheme="minorHAnsi"/>
          <w:sz w:val="24"/>
          <w:szCs w:val="24"/>
        </w:rPr>
        <w:t xml:space="preserve"> opublikowane po 23</w:t>
      </w:r>
      <w:r>
        <w:rPr>
          <w:rFonts w:cstheme="minorHAnsi"/>
          <w:sz w:val="24"/>
          <w:szCs w:val="24"/>
        </w:rPr>
        <w:t> </w:t>
      </w:r>
      <w:r w:rsidRPr="00807AB8">
        <w:rPr>
          <w:rFonts w:cstheme="minorHAnsi"/>
          <w:sz w:val="24"/>
          <w:szCs w:val="24"/>
        </w:rPr>
        <w:t>września 2020</w:t>
      </w:r>
      <w:r>
        <w:rPr>
          <w:rFonts w:cstheme="minorHAnsi"/>
          <w:sz w:val="24"/>
          <w:szCs w:val="24"/>
        </w:rPr>
        <w:t xml:space="preserve"> r.</w:t>
      </w:r>
      <w:r w:rsidRPr="00807AB8">
        <w:rPr>
          <w:rFonts w:cstheme="minorHAnsi"/>
          <w:sz w:val="24"/>
          <w:szCs w:val="24"/>
        </w:rPr>
        <w:t>, muszą się znaleźć napisy. Oznacza to, że również materiał wideo, początkowo emitowany na żywo, jeśli pozostaje na stronie, także musi być wyposażony w</w:t>
      </w:r>
      <w:r>
        <w:rPr>
          <w:rFonts w:cstheme="minorHAnsi"/>
          <w:sz w:val="24"/>
          <w:szCs w:val="24"/>
        </w:rPr>
        <w:t> </w:t>
      </w:r>
      <w:r w:rsidRPr="00807AB8">
        <w:rPr>
          <w:rFonts w:cstheme="minorHAnsi"/>
          <w:sz w:val="24"/>
          <w:szCs w:val="24"/>
        </w:rPr>
        <w:t>napisy.</w:t>
      </w:r>
    </w:p>
    <w:sectPr w:rsidR="008010E8" w:rsidRPr="0048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3258A"/>
    <w:multiLevelType w:val="hybridMultilevel"/>
    <w:tmpl w:val="3F0C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25"/>
    <w:rsid w:val="00256285"/>
    <w:rsid w:val="00482725"/>
    <w:rsid w:val="006E226E"/>
    <w:rsid w:val="00B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E26B"/>
  <w15:chartTrackingRefBased/>
  <w15:docId w15:val="{5A6780BF-E5FE-4E91-B240-4B322504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82725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48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tworzenia dostępnego dokumentu</dc:title>
  <dc:subject>zapewnienie dostępności</dc:subject>
  <dc:creator>Hanna Zubrzycka-Kolińska</dc:creator>
  <cp:keywords>dostępność</cp:keywords>
  <dc:description>Załącznik nr 3 do Procedury obsługi osób ze szczególnymi potrzebami w Urzędzie Miasta Łodzi</dc:description>
  <cp:lastModifiedBy>Hanna Zubrzycka-Kolińska</cp:lastModifiedBy>
  <cp:revision>2</cp:revision>
  <dcterms:created xsi:type="dcterms:W3CDTF">2022-09-08T08:35:00Z</dcterms:created>
  <dcterms:modified xsi:type="dcterms:W3CDTF">2022-09-08T08:45:00Z</dcterms:modified>
  <cp:category>dostępność</cp:category>
</cp:coreProperties>
</file>